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DFC" w:rsidRPr="00D45649" w:rsidRDefault="00A56DFC" w:rsidP="00A56DFC">
      <w:pPr>
        <w:rPr>
          <w:rFonts w:cstheme="minorHAnsi"/>
          <w:w w:val="200"/>
          <w:sz w:val="16"/>
          <w:szCs w:val="16"/>
        </w:rPr>
      </w:pPr>
      <w:r w:rsidRPr="00D45649">
        <w:rPr>
          <w:rFonts w:cstheme="minorHAnsi"/>
          <w:noProof/>
          <w:sz w:val="16"/>
          <w:szCs w:val="16"/>
          <w:lang w:eastAsia="pt-P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-429260</wp:posOffset>
            </wp:positionH>
            <wp:positionV relativeFrom="paragraph">
              <wp:posOffset>-248920</wp:posOffset>
            </wp:positionV>
            <wp:extent cx="809625" cy="923925"/>
            <wp:effectExtent l="19050" t="0" r="9525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56DFC" w:rsidRPr="00D45649" w:rsidRDefault="00A56DFC" w:rsidP="00A56DFC">
      <w:pPr>
        <w:pStyle w:val="SemEspaamento"/>
        <w:jc w:val="right"/>
        <w:rPr>
          <w:rFonts w:asciiTheme="minorHAnsi" w:hAnsiTheme="minorHAnsi" w:cstheme="minorHAnsi"/>
          <w:b/>
          <w:w w:val="125"/>
          <w:sz w:val="24"/>
          <w:szCs w:val="24"/>
        </w:rPr>
      </w:pPr>
    </w:p>
    <w:p w:rsidR="00A56DFC" w:rsidRPr="00D45649" w:rsidRDefault="00A56DFC" w:rsidP="00A56DFC">
      <w:pPr>
        <w:pStyle w:val="SemEspaamento"/>
        <w:jc w:val="right"/>
        <w:rPr>
          <w:rFonts w:asciiTheme="minorHAnsi" w:hAnsiTheme="minorHAnsi" w:cstheme="minorHAnsi"/>
          <w:b/>
          <w:w w:val="125"/>
          <w:sz w:val="24"/>
          <w:szCs w:val="24"/>
        </w:rPr>
      </w:pPr>
    </w:p>
    <w:p w:rsidR="00A56DFC" w:rsidRDefault="00A56DFC" w:rsidP="00A56DFC">
      <w:pPr>
        <w:pStyle w:val="SemEspaamento"/>
        <w:jc w:val="right"/>
        <w:rPr>
          <w:rFonts w:asciiTheme="minorHAnsi" w:hAnsiTheme="minorHAnsi" w:cstheme="minorHAnsi"/>
          <w:b/>
          <w:w w:val="125"/>
          <w:sz w:val="24"/>
          <w:szCs w:val="24"/>
        </w:rPr>
      </w:pPr>
    </w:p>
    <w:p w:rsidR="006B435A" w:rsidRPr="00892830" w:rsidRDefault="006B435A" w:rsidP="00A56DFC">
      <w:pPr>
        <w:pStyle w:val="SemEspaamento"/>
        <w:jc w:val="right"/>
        <w:rPr>
          <w:rFonts w:asciiTheme="minorHAnsi" w:hAnsiTheme="minorHAnsi" w:cstheme="minorHAnsi"/>
          <w:b/>
          <w:w w:val="125"/>
          <w:sz w:val="16"/>
          <w:szCs w:val="16"/>
        </w:rPr>
      </w:pPr>
    </w:p>
    <w:p w:rsidR="006B435A" w:rsidRPr="0060223F" w:rsidRDefault="006B435A" w:rsidP="00A56DFC">
      <w:pPr>
        <w:pStyle w:val="SemEspaamento"/>
        <w:jc w:val="right"/>
        <w:rPr>
          <w:rFonts w:asciiTheme="minorHAnsi" w:hAnsiTheme="minorHAnsi" w:cstheme="minorHAnsi"/>
          <w:b/>
          <w:w w:val="125"/>
          <w:sz w:val="8"/>
          <w:szCs w:val="8"/>
        </w:rPr>
      </w:pPr>
    </w:p>
    <w:p w:rsidR="0083777B" w:rsidRDefault="0083777B" w:rsidP="0083777B">
      <w:pPr>
        <w:pStyle w:val="SemEspaamen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:rsidR="0083777B" w:rsidRDefault="0083777B" w:rsidP="0083777B">
      <w:pPr>
        <w:pStyle w:val="SemEspaamen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:rsidR="0083777B" w:rsidRPr="00D36103" w:rsidRDefault="0083777B" w:rsidP="0083777B">
      <w:pPr>
        <w:pStyle w:val="SemEspaamen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D36103">
        <w:rPr>
          <w:rFonts w:asciiTheme="minorHAnsi" w:hAnsiTheme="minorHAnsi" w:cstheme="minorHAnsi"/>
          <w:b/>
          <w:bCs/>
          <w:sz w:val="24"/>
          <w:szCs w:val="24"/>
        </w:rPr>
        <w:t>SENHOR PRESIDENTE</w:t>
      </w:r>
    </w:p>
    <w:p w:rsidR="0083777B" w:rsidRPr="00D36103" w:rsidRDefault="0083777B" w:rsidP="0083777B">
      <w:pPr>
        <w:pStyle w:val="SemEspaamento"/>
        <w:jc w:val="both"/>
        <w:rPr>
          <w:rFonts w:asciiTheme="minorHAnsi" w:hAnsiTheme="minorHAnsi" w:cstheme="minorHAnsi"/>
          <w:sz w:val="24"/>
          <w:szCs w:val="24"/>
        </w:rPr>
      </w:pP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b/>
          <w:bCs/>
          <w:sz w:val="16"/>
          <w:szCs w:val="16"/>
        </w:rPr>
      </w:pP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b/>
          <w:bCs/>
          <w:sz w:val="24"/>
          <w:szCs w:val="24"/>
        </w:rPr>
        <w:t xml:space="preserve">I </w:t>
      </w:r>
      <w:r w:rsidRPr="00D36103">
        <w:rPr>
          <w:rFonts w:asciiTheme="minorHAnsi" w:hAnsiTheme="minorHAnsi" w:cstheme="minorHAnsi"/>
          <w:sz w:val="24"/>
          <w:szCs w:val="24"/>
        </w:rPr>
        <w:t>- Muitas Instituições têm solicitado a orientação da CNIS sobre o procedimento a ter em conta quanto ao pagamento das comparticipações familiares devidas pela frequência das respostas sociais cujo funcionamento foi suspenso, por determinação do Governo.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Trata-se de uma questão complexa, que se pode resumir do modo seguinte: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A questão é a de saber se, no atual contexto de encerramento de diversas respostas sociais, determinado por lei, originando a suspensão da prestação de serviços contratada com os utentes ou seus familiares, se mantém, e em que termos, o dever de pagamento das comparticipações familiares.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A questão não tem uma solução uniforme.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16"/>
          <w:szCs w:val="16"/>
        </w:rPr>
      </w:pP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b/>
          <w:bCs/>
          <w:sz w:val="24"/>
          <w:szCs w:val="24"/>
        </w:rPr>
        <w:t>II</w:t>
      </w:r>
      <w:r w:rsidRPr="00D36103">
        <w:rPr>
          <w:rFonts w:asciiTheme="minorHAnsi" w:hAnsiTheme="minorHAnsi" w:cstheme="minorHAnsi"/>
          <w:sz w:val="24"/>
          <w:szCs w:val="24"/>
        </w:rPr>
        <w:t xml:space="preserve"> - Normalmente, os contratos de prestação de serviços e os regulamentos internos, bem como o Ponto 9 do Regulamento das comparticipações familiares anexo à Portaria nº 196-A/2015, de 1 de Julho, preveem uma redução da comparticipação familiar quando se verifique a ausência de frequência durante um determinado período.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Mas essa redução decorre, nesses casos, de ausência por motivo imputável ao utente.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Não é o caso atual, em que a suspensão da prestação social decorre de motivo externo, de ordem pública, não imputável a qualquer das partes do contrato de prestação de serviços.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 xml:space="preserve">E não se trata de uma situação pontual, de um ou outro utente, sem efeitos práticos significativos nos custos da resposta social, mas do encerramento integral, abrangendo todos os utentes – com impacto efetivo, por exemplo com diminuição das despesas com alimentação. 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As disposições legais aplicáveis são, a nosso ver, os artsº 795º, 428º e 437º do Código Civil.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Segundo o artº 795.º do Código Civil, “1 - Quando no contrato bilateral uma das prestações se torne impossível, fica o credor desobrigado da contraprestação e tem o direito, se já a tiver realizado, de exigir a sua restituição nos termos prescritos para o enriquecimento sem causa.”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No mesmo sentido, o artº 428.º do mesmo Código dispõe que, “1. Se nos contratos bilaterais não houver prazos diferentes para o cumprimento das prestações, cada um dos contraentes tem a faculdade de recusar a sua prestação enquanto o outro não efetuar a que lhe cabe ou não oferecer o seu cumprimento simultâneo.”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b/>
          <w:bCs/>
          <w:sz w:val="16"/>
          <w:szCs w:val="16"/>
        </w:rPr>
      </w:pP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b/>
          <w:bCs/>
          <w:sz w:val="24"/>
          <w:szCs w:val="24"/>
        </w:rPr>
        <w:t>III</w:t>
      </w:r>
      <w:r w:rsidRPr="00D36103">
        <w:rPr>
          <w:rFonts w:asciiTheme="minorHAnsi" w:hAnsiTheme="minorHAnsi" w:cstheme="minorHAnsi"/>
          <w:sz w:val="24"/>
          <w:szCs w:val="24"/>
        </w:rPr>
        <w:t xml:space="preserve"> - Por outro lado, o art 437º, ainda do Código Civil, determina do modo seguinte: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“Resolução ou modificação do contrato por alteração das circunstâncias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Artigo 437.º (Condições de admissibilidade)</w:t>
      </w:r>
    </w:p>
    <w:p w:rsidR="0083777B" w:rsidRPr="004B684F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8"/>
          <w:szCs w:val="8"/>
        </w:rPr>
      </w:pP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 xml:space="preserve">1. Se as circunstâncias em que as partes fundaram a decisão de contratar tiverem sofrido uma alteração anormal, tem a parte lesada direito à resolução do contrato, ou à </w:t>
      </w:r>
      <w:r w:rsidRPr="00D36103">
        <w:rPr>
          <w:rFonts w:asciiTheme="minorHAnsi" w:hAnsiTheme="minorHAnsi" w:cstheme="minorHAnsi"/>
          <w:b/>
          <w:bCs/>
          <w:sz w:val="24"/>
          <w:szCs w:val="24"/>
        </w:rPr>
        <w:t xml:space="preserve">modificação dele segundo </w:t>
      </w:r>
      <w:r w:rsidRPr="00D36103">
        <w:rPr>
          <w:rFonts w:asciiTheme="minorHAnsi" w:hAnsiTheme="minorHAnsi" w:cstheme="minorHAnsi"/>
          <w:b/>
          <w:bCs/>
          <w:sz w:val="24"/>
          <w:szCs w:val="24"/>
        </w:rPr>
        <w:lastRenderedPageBreak/>
        <w:t xml:space="preserve">juízos de equidade, </w:t>
      </w:r>
      <w:r w:rsidRPr="00D36103">
        <w:rPr>
          <w:rFonts w:asciiTheme="minorHAnsi" w:hAnsiTheme="minorHAnsi" w:cstheme="minorHAnsi"/>
          <w:sz w:val="24"/>
          <w:szCs w:val="24"/>
        </w:rPr>
        <w:t>desde que a exigência das obrigações por ela assumidas afete gravemente os princípios da boa fé e não esteja coberta pelos riscos próprios do contrato.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8"/>
          <w:szCs w:val="8"/>
        </w:rPr>
      </w:pP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2. Requerida a resolução, a parte contrária pode opor-se ao pedido, declarando aceitar a modificação do contrato nos termos do número anterior.”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16"/>
          <w:szCs w:val="16"/>
        </w:rPr>
      </w:pP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b/>
          <w:bCs/>
          <w:sz w:val="24"/>
          <w:szCs w:val="24"/>
        </w:rPr>
        <w:t xml:space="preserve">IV </w:t>
      </w:r>
      <w:r w:rsidRPr="00D36103">
        <w:rPr>
          <w:rFonts w:asciiTheme="minorHAnsi" w:hAnsiTheme="minorHAnsi" w:cstheme="minorHAnsi"/>
          <w:sz w:val="24"/>
          <w:szCs w:val="24"/>
        </w:rPr>
        <w:t>– Combinando o disposto nas referidas disposições, podemos concluir que o contrato de prestação de serviços pode ser resolvido, isto é, pode cessar, por iniciativa de qualquer das partes, uma vez que se pode considerar verificado o requisito de “alteração anormal de circunstâncias” – artº 437º, 1 do Código Civil.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 xml:space="preserve">Mas também pode optar-se – designadamente, pode o utente, ou seus familiares, optar - pela manutenção em vigor do contato, modificando-o de acordo com as circunstâncias, como se refere na mesma disposição legal. 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Esta modificação deve ser levada a cabo segundo critérios de equidade.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E tal modificação pode traduzir-se, por exemplo, numa redução do valor das comparticipações.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b/>
          <w:bCs/>
          <w:sz w:val="24"/>
          <w:szCs w:val="24"/>
        </w:rPr>
        <w:t>Mas o conteúdo de tal modificação</w:t>
      </w:r>
      <w:r w:rsidRPr="00D36103">
        <w:rPr>
          <w:rFonts w:asciiTheme="minorHAnsi" w:hAnsiTheme="minorHAnsi" w:cstheme="minorHAnsi"/>
          <w:sz w:val="24"/>
          <w:szCs w:val="24"/>
        </w:rPr>
        <w:t xml:space="preserve"> </w:t>
      </w:r>
      <w:r w:rsidRPr="00D36103">
        <w:rPr>
          <w:rFonts w:asciiTheme="minorHAnsi" w:hAnsiTheme="minorHAnsi" w:cstheme="minorHAnsi"/>
          <w:b/>
          <w:bCs/>
          <w:sz w:val="24"/>
          <w:szCs w:val="24"/>
        </w:rPr>
        <w:t>terá de merecer o acordo da contraparte</w:t>
      </w:r>
      <w:r w:rsidRPr="00D36103">
        <w:rPr>
          <w:rFonts w:asciiTheme="minorHAnsi" w:hAnsiTheme="minorHAnsi" w:cstheme="minorHAnsi"/>
          <w:sz w:val="24"/>
          <w:szCs w:val="24"/>
        </w:rPr>
        <w:t>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16"/>
          <w:szCs w:val="16"/>
        </w:rPr>
      </w:pP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b/>
          <w:bCs/>
          <w:sz w:val="24"/>
          <w:szCs w:val="24"/>
        </w:rPr>
        <w:t>V</w:t>
      </w:r>
      <w:r w:rsidRPr="00D36103">
        <w:rPr>
          <w:rFonts w:asciiTheme="minorHAnsi" w:hAnsiTheme="minorHAnsi" w:cstheme="minorHAnsi"/>
          <w:sz w:val="24"/>
          <w:szCs w:val="24"/>
        </w:rPr>
        <w:t xml:space="preserve"> – Como se referiu, devem ser juízos de equidade a determinar, em cada caso, a concreta modificação do conteúdo do contrato.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Isto é, uma eventual redução deverá ter em conta princípios que assegurem a proporcionalidade e adequação dessa mesma redução.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Não poderá ser igual em todas as situações.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Por exemplo, não poderá ser idêntica essa eventual redução nos casos em que a Instituição recorreu aos mecanismos de apoio extraordinário – p. ex., lay off simplificado, ou lay off normal (artº 305º do Código do Trabalho) e nos casos em que tal apoio não ocorreu.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 xml:space="preserve">O mesmo se diga para os casos em que a Instituição optou pela manutenção dos postos de trabalho, ou pela sua extinção  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bookmarkStart w:id="0" w:name="_Hlk35974978"/>
      <w:r w:rsidRPr="00D36103">
        <w:rPr>
          <w:rFonts w:asciiTheme="minorHAnsi" w:hAnsiTheme="minorHAnsi" w:cstheme="minorHAnsi"/>
          <w:sz w:val="24"/>
          <w:szCs w:val="24"/>
        </w:rPr>
        <w:t>O fundamento da posição da CNIS consiste no entendimento de que, pelo menos nas situações em que a Instituição continua em atividade efetiva, por manter respostas sociais de funcionamento contínuo imprescindível, ou tem a intenção de restaurar o funcionamento das respostas sociais que foram suspensas, não se pode falar em impossibilidade definitiva da prestação, mas apenas na suspensão da prestação principal; continuando a ser assegurado um conjunto de atividades ligadas ao funcionamento de tais respostas sociais e mantendo-se diversos direitos instrumentais, como o direito à inscrição e à vaga correspondente.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Tais direitos instrumentais, ou subsidiários, têm valor económico.</w:t>
      </w:r>
    </w:p>
    <w:bookmarkEnd w:id="0"/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O contrato de prestação de serviços tem, em regra, vigência anual, nas respostas da infância e juventude; e duradoura, noutras respostas - pelo que a sua manutenção em vigor, embora temporariamente suspenso na prestação principal, pode ser considerada entendimento legítimo.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A prestação a cargo da Instituição ainda é possível, embora de forma diferida para momento posterior.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Na verdade, a suspensão da prestação de serviços por parte da Instituição, nesses casos, não é completa, subsistindo o cumprimento parcial do contrato – pelo menos nas situações em que o</w:t>
      </w:r>
      <w:r>
        <w:rPr>
          <w:rFonts w:asciiTheme="minorHAnsi" w:hAnsiTheme="minorHAnsi" w:cstheme="minorHAnsi"/>
          <w:sz w:val="24"/>
          <w:szCs w:val="24"/>
        </w:rPr>
        <w:t>s trabalhadores afe</w:t>
      </w:r>
      <w:r w:rsidRPr="00D36103">
        <w:rPr>
          <w:rFonts w:asciiTheme="minorHAnsi" w:hAnsiTheme="minorHAnsi" w:cstheme="minorHAnsi"/>
          <w:sz w:val="24"/>
          <w:szCs w:val="24"/>
        </w:rPr>
        <w:t>tos às respostas sociais continuam ao serviço efetivo, planificando atividades, procedendo à higienização dos espaços, preparando-os para a reabertura da resposta social …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lastRenderedPageBreak/>
        <w:t>Em suma, mantendo, no essencial, o vínculo laboral à Instituição, e ao serviço efetivo – embora sem utentes -, pressuposto da possibilidade da continuação da prestação de serviços principal, quando cessarem as medidas determinadas pelo Governo.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No entanto, mesmo nesta interpretação, a eventual redução do contrato assenta em juízos de equidade; que, na circunstância, devem ser negociados e acordados com os utentes ou seus familiares que celebraram com a Instituição os aludidos contratos.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 xml:space="preserve">De acordo com os aludidos princípios da proporcionalidade e da adequação, também não deve ser igual o critério de formulação de proposta de redução da comparticipação, nos casos de manutenção de um mínimo de funcionamento das respostas ou de encerramento completo da resposta, com o envio dos trabalhadores para casa ou para o desemprego. 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b/>
          <w:bCs/>
          <w:sz w:val="16"/>
          <w:szCs w:val="16"/>
        </w:rPr>
      </w:pP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b/>
          <w:bCs/>
          <w:sz w:val="24"/>
          <w:szCs w:val="24"/>
        </w:rPr>
        <w:t xml:space="preserve">VI </w:t>
      </w:r>
      <w:r w:rsidRPr="00D36103">
        <w:rPr>
          <w:rFonts w:asciiTheme="minorHAnsi" w:hAnsiTheme="minorHAnsi" w:cstheme="minorHAnsi"/>
          <w:sz w:val="24"/>
          <w:szCs w:val="24"/>
        </w:rPr>
        <w:t>– Convém recordar</w:t>
      </w:r>
      <w:r w:rsidRPr="00D36103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D36103">
        <w:rPr>
          <w:rFonts w:asciiTheme="minorHAnsi" w:hAnsiTheme="minorHAnsi" w:cstheme="minorHAnsi"/>
          <w:sz w:val="24"/>
          <w:szCs w:val="24"/>
        </w:rPr>
        <w:t>que os contratos de</w:t>
      </w:r>
      <w:r w:rsidRPr="00D36103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D36103">
        <w:rPr>
          <w:rFonts w:asciiTheme="minorHAnsi" w:hAnsiTheme="minorHAnsi" w:cstheme="minorHAnsi"/>
          <w:sz w:val="24"/>
          <w:szCs w:val="24"/>
        </w:rPr>
        <w:t>prestação de serviços constituem contratos de direito privado, em que são partes as Instituições e os utentes ou seus familiares.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A Segurança Social não é parte nesses contratos.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Nessa medida, a gestão da situação contratual e suas vicissitudes está compreendida na autonomia de gestão das Instituições, devendo cada Instituição definir as propostas negociais a apresentar às contrapartes nos contratos de prestação de serviços, consoante os efeitos das medidas excecionais na sua estrutura de custos e proveitos.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No entanto, a Segurança Social pode fiscalizar o cumprimento do Regulamento Anexo à Portaria nº 196-A/2015, de 1 de Julho, designadamente</w:t>
      </w:r>
      <w:r w:rsidRPr="00D36103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D36103">
        <w:rPr>
          <w:rFonts w:asciiTheme="minorHAnsi" w:hAnsiTheme="minorHAnsi" w:cstheme="minorHAnsi"/>
          <w:sz w:val="24"/>
          <w:szCs w:val="24"/>
        </w:rPr>
        <w:t>no que toca à determinação</w:t>
      </w:r>
      <w:r w:rsidRPr="00D36103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D36103">
        <w:rPr>
          <w:rFonts w:asciiTheme="minorHAnsi" w:hAnsiTheme="minorHAnsi" w:cstheme="minorHAnsi"/>
          <w:sz w:val="24"/>
          <w:szCs w:val="24"/>
        </w:rPr>
        <w:t>da comparticipação familiar e aos critérios que a ela conduzem.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Mas essa Portaria não regula os efeitos desta circunstância excecional, em nosso entendimento.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O Ponto 9 da referida Portaria regula uma circunstância em que se verifica uma redução da comparticipação familiar: “9 - Redução da comparticipação familiar - Há lugar a uma redução de 10 % na comparticipação familiar mensal quando o período de ausência devidamente fundamentado exceda 15 dias seguidos.”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Mas essa redução tem como pressuposto que a ausência, embora justificada, resulta da opção do utente.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Não é o caso em análise a propósito do encerramento forçado das respostas sociais.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16"/>
          <w:szCs w:val="16"/>
        </w:rPr>
      </w:pP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b/>
          <w:bCs/>
          <w:sz w:val="24"/>
          <w:szCs w:val="24"/>
        </w:rPr>
        <w:t>VII</w:t>
      </w:r>
      <w:r w:rsidRPr="00D36103">
        <w:rPr>
          <w:rFonts w:asciiTheme="minorHAnsi" w:hAnsiTheme="minorHAnsi" w:cstheme="minorHAnsi"/>
          <w:sz w:val="24"/>
          <w:szCs w:val="24"/>
        </w:rPr>
        <w:t xml:space="preserve"> – A forma mais equilibrada de resolver este constrangimento foi a adotada pelo Governo Regional da Madeira, que decidiu no sentido de mandar isentar do pagamento das comparticipações familiares os utentes das respostas encerradas, assumindo o Governo Regional esse encargo.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16"/>
          <w:szCs w:val="16"/>
        </w:rPr>
      </w:pP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266D8">
        <w:rPr>
          <w:rFonts w:asciiTheme="minorHAnsi" w:hAnsiTheme="minorHAnsi" w:cstheme="minorHAnsi"/>
          <w:b/>
          <w:sz w:val="24"/>
          <w:szCs w:val="24"/>
        </w:rPr>
        <w:t>VIII</w:t>
      </w:r>
      <w:r w:rsidRPr="00D36103">
        <w:rPr>
          <w:rFonts w:asciiTheme="minorHAnsi" w:hAnsiTheme="minorHAnsi" w:cstheme="minorHAnsi"/>
          <w:sz w:val="24"/>
          <w:szCs w:val="24"/>
        </w:rPr>
        <w:t xml:space="preserve"> – Estas orientações têm, como tudo tem nesta ocasião, um carácter precário.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 xml:space="preserve">Em cada dia, podem ser alteradas as estipulações administrativas atualmente em vigor, modificando os pressupostos em que assenta a presente comunicação. 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>Porto, 24 de Março de 2020</w:t>
      </w: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3777B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 p</w:t>
      </w:r>
      <w:r w:rsidRPr="00D36103">
        <w:rPr>
          <w:rFonts w:asciiTheme="minorHAnsi" w:hAnsiTheme="minorHAnsi" w:cstheme="minorHAnsi"/>
          <w:sz w:val="24"/>
          <w:szCs w:val="24"/>
        </w:rPr>
        <w:t>residente da CNIS</w:t>
      </w:r>
    </w:p>
    <w:p w:rsidR="0083777B" w:rsidRPr="004B684F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16"/>
          <w:szCs w:val="16"/>
        </w:rPr>
      </w:pPr>
    </w:p>
    <w:p w:rsidR="0083777B" w:rsidRPr="00D36103" w:rsidRDefault="0083777B" w:rsidP="0083777B">
      <w:pPr>
        <w:pStyle w:val="SemEspaamento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6103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eastAsia="Calibri" w:cstheme="minorHAnsi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-232410</wp:posOffset>
            </wp:positionH>
            <wp:positionV relativeFrom="paragraph">
              <wp:posOffset>36195</wp:posOffset>
            </wp:positionV>
            <wp:extent cx="1552575" cy="485775"/>
            <wp:effectExtent l="19050" t="0" r="9525" b="0"/>
            <wp:wrapNone/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0883" w:rsidRDefault="000B0883" w:rsidP="0083777B">
      <w:pPr>
        <w:pStyle w:val="SemEspaamento"/>
        <w:jc w:val="right"/>
        <w:rPr>
          <w:rFonts w:cstheme="minorHAnsi"/>
        </w:rPr>
      </w:pPr>
    </w:p>
    <w:sectPr w:rsidR="000B0883" w:rsidSect="004B684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566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64DF" w:rsidRDefault="008C64DF" w:rsidP="0083777B">
      <w:pPr>
        <w:spacing w:after="0" w:line="240" w:lineRule="auto"/>
      </w:pPr>
      <w:r>
        <w:separator/>
      </w:r>
    </w:p>
  </w:endnote>
  <w:endnote w:type="continuationSeparator" w:id="0">
    <w:p w:rsidR="008C64DF" w:rsidRDefault="008C64DF" w:rsidP="00837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77B" w:rsidRDefault="0083777B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4052751"/>
      <w:docPartObj>
        <w:docPartGallery w:val="Page Numbers (Bottom of Page)"/>
        <w:docPartUnique/>
      </w:docPartObj>
    </w:sdtPr>
    <w:sdtContent>
      <w:p w:rsidR="0083777B" w:rsidRDefault="00F54735">
        <w:pPr>
          <w:pStyle w:val="Rodap"/>
          <w:jc w:val="right"/>
        </w:pPr>
        <w:r w:rsidRPr="0083777B">
          <w:rPr>
            <w:w w:val="150"/>
            <w:sz w:val="24"/>
            <w:szCs w:val="24"/>
          </w:rPr>
          <w:fldChar w:fldCharType="begin"/>
        </w:r>
        <w:r w:rsidR="0083777B" w:rsidRPr="0083777B">
          <w:rPr>
            <w:w w:val="150"/>
            <w:sz w:val="24"/>
            <w:szCs w:val="24"/>
          </w:rPr>
          <w:instrText xml:space="preserve"> PAGE   \* MERGEFORMAT </w:instrText>
        </w:r>
        <w:r w:rsidRPr="0083777B">
          <w:rPr>
            <w:w w:val="150"/>
            <w:sz w:val="24"/>
            <w:szCs w:val="24"/>
          </w:rPr>
          <w:fldChar w:fldCharType="separate"/>
        </w:r>
        <w:r w:rsidR="00B07372">
          <w:rPr>
            <w:noProof/>
            <w:w w:val="150"/>
            <w:sz w:val="24"/>
            <w:szCs w:val="24"/>
          </w:rPr>
          <w:t>1</w:t>
        </w:r>
        <w:r w:rsidRPr="0083777B">
          <w:rPr>
            <w:w w:val="150"/>
            <w:sz w:val="24"/>
            <w:szCs w:val="24"/>
          </w:rPr>
          <w:fldChar w:fldCharType="end"/>
        </w:r>
      </w:p>
    </w:sdtContent>
  </w:sdt>
  <w:p w:rsidR="0083777B" w:rsidRDefault="0083777B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77B" w:rsidRDefault="0083777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64DF" w:rsidRDefault="008C64DF" w:rsidP="0083777B">
      <w:pPr>
        <w:spacing w:after="0" w:line="240" w:lineRule="auto"/>
      </w:pPr>
      <w:r>
        <w:separator/>
      </w:r>
    </w:p>
  </w:footnote>
  <w:footnote w:type="continuationSeparator" w:id="0">
    <w:p w:rsidR="008C64DF" w:rsidRDefault="008C64DF" w:rsidP="008377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77B" w:rsidRDefault="0083777B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77B" w:rsidRDefault="0083777B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77B" w:rsidRDefault="0083777B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942EE"/>
    <w:multiLevelType w:val="multilevel"/>
    <w:tmpl w:val="ACE0B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8A6170"/>
    <w:multiLevelType w:val="hybridMultilevel"/>
    <w:tmpl w:val="892CD91E"/>
    <w:lvl w:ilvl="0" w:tplc="08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0C112CC4"/>
    <w:multiLevelType w:val="multilevel"/>
    <w:tmpl w:val="27F08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6B4F7A"/>
    <w:multiLevelType w:val="hybridMultilevel"/>
    <w:tmpl w:val="844A781C"/>
    <w:lvl w:ilvl="0" w:tplc="7CFC3A88">
      <w:start w:val="1"/>
      <w:numFmt w:val="decimal"/>
      <w:lvlText w:val="%1 - "/>
      <w:lvlJc w:val="left"/>
      <w:pPr>
        <w:ind w:left="720" w:hanging="360"/>
      </w:pPr>
      <w:rPr>
        <w:rFonts w:ascii="Times New Roman" w:hAnsi="Times New Roman" w:hint="default"/>
        <w:b/>
        <w:i w:val="0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641DF6"/>
    <w:multiLevelType w:val="hybridMultilevel"/>
    <w:tmpl w:val="40569744"/>
    <w:lvl w:ilvl="0" w:tplc="08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0DE153F"/>
    <w:multiLevelType w:val="multilevel"/>
    <w:tmpl w:val="93780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9A54F6"/>
    <w:multiLevelType w:val="multilevel"/>
    <w:tmpl w:val="658AD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D31382"/>
    <w:multiLevelType w:val="multilevel"/>
    <w:tmpl w:val="2E3E6E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BD7B0C"/>
    <w:multiLevelType w:val="multilevel"/>
    <w:tmpl w:val="8E501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95C4417"/>
    <w:multiLevelType w:val="multilevel"/>
    <w:tmpl w:val="CE02C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5E296D"/>
    <w:multiLevelType w:val="multilevel"/>
    <w:tmpl w:val="CBC4B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92D0247"/>
    <w:multiLevelType w:val="multilevel"/>
    <w:tmpl w:val="17EAD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FB1D26"/>
    <w:multiLevelType w:val="multilevel"/>
    <w:tmpl w:val="D5F6B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E7A72A2"/>
    <w:multiLevelType w:val="multilevel"/>
    <w:tmpl w:val="F18ABC5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B8972FA"/>
    <w:multiLevelType w:val="multilevel"/>
    <w:tmpl w:val="65C6C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F4F3306"/>
    <w:multiLevelType w:val="hybridMultilevel"/>
    <w:tmpl w:val="68EA3026"/>
    <w:lvl w:ilvl="0" w:tplc="08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687774F0"/>
    <w:multiLevelType w:val="multilevel"/>
    <w:tmpl w:val="CE3C5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C536D95"/>
    <w:multiLevelType w:val="multilevel"/>
    <w:tmpl w:val="5B6E18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4FC472B"/>
    <w:multiLevelType w:val="multilevel"/>
    <w:tmpl w:val="F544C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8720D74"/>
    <w:multiLevelType w:val="hybridMultilevel"/>
    <w:tmpl w:val="AA2CFD0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BF3654"/>
    <w:multiLevelType w:val="hybridMultilevel"/>
    <w:tmpl w:val="E16EBF7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11771A"/>
    <w:multiLevelType w:val="hybridMultilevel"/>
    <w:tmpl w:val="EAAEBDAC"/>
    <w:lvl w:ilvl="0" w:tplc="08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2">
    <w:nsid w:val="7F246803"/>
    <w:multiLevelType w:val="multilevel"/>
    <w:tmpl w:val="01543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9"/>
  </w:num>
  <w:num w:numId="3">
    <w:abstractNumId w:val="13"/>
  </w:num>
  <w:num w:numId="4">
    <w:abstractNumId w:val="7"/>
  </w:num>
  <w:num w:numId="5">
    <w:abstractNumId w:val="18"/>
  </w:num>
  <w:num w:numId="6">
    <w:abstractNumId w:val="17"/>
  </w:num>
  <w:num w:numId="7">
    <w:abstractNumId w:val="8"/>
  </w:num>
  <w:num w:numId="8">
    <w:abstractNumId w:val="15"/>
  </w:num>
  <w:num w:numId="9">
    <w:abstractNumId w:val="1"/>
  </w:num>
  <w:num w:numId="10">
    <w:abstractNumId w:val="4"/>
  </w:num>
  <w:num w:numId="11">
    <w:abstractNumId w:val="20"/>
  </w:num>
  <w:num w:numId="12">
    <w:abstractNumId w:val="21"/>
  </w:num>
  <w:num w:numId="13">
    <w:abstractNumId w:val="0"/>
  </w:num>
  <w:num w:numId="14">
    <w:abstractNumId w:val="10"/>
  </w:num>
  <w:num w:numId="15">
    <w:abstractNumId w:val="16"/>
  </w:num>
  <w:num w:numId="16">
    <w:abstractNumId w:val="11"/>
  </w:num>
  <w:num w:numId="17">
    <w:abstractNumId w:val="6"/>
  </w:num>
  <w:num w:numId="18">
    <w:abstractNumId w:val="19"/>
  </w:num>
  <w:num w:numId="19">
    <w:abstractNumId w:val="12"/>
  </w:num>
  <w:num w:numId="20">
    <w:abstractNumId w:val="2"/>
  </w:num>
  <w:num w:numId="21">
    <w:abstractNumId w:val="14"/>
  </w:num>
  <w:num w:numId="22">
    <w:abstractNumId w:val="22"/>
  </w:num>
  <w:num w:numId="2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D2654"/>
    <w:rsid w:val="00000A74"/>
    <w:rsid w:val="00022C7F"/>
    <w:rsid w:val="00024485"/>
    <w:rsid w:val="000254C7"/>
    <w:rsid w:val="000501D2"/>
    <w:rsid w:val="00060BD5"/>
    <w:rsid w:val="00061B67"/>
    <w:rsid w:val="000A326F"/>
    <w:rsid w:val="000B0883"/>
    <w:rsid w:val="000B5D45"/>
    <w:rsid w:val="000C50D7"/>
    <w:rsid w:val="000C71F6"/>
    <w:rsid w:val="000D5777"/>
    <w:rsid w:val="001131CA"/>
    <w:rsid w:val="00121F1F"/>
    <w:rsid w:val="001227FE"/>
    <w:rsid w:val="0012652F"/>
    <w:rsid w:val="001313D8"/>
    <w:rsid w:val="00180B3A"/>
    <w:rsid w:val="001A7C46"/>
    <w:rsid w:val="001B29CA"/>
    <w:rsid w:val="001C0C09"/>
    <w:rsid w:val="00222918"/>
    <w:rsid w:val="0023151F"/>
    <w:rsid w:val="0025136E"/>
    <w:rsid w:val="00253A93"/>
    <w:rsid w:val="002603D1"/>
    <w:rsid w:val="002A7F17"/>
    <w:rsid w:val="002A7FB9"/>
    <w:rsid w:val="002B064A"/>
    <w:rsid w:val="002C2E12"/>
    <w:rsid w:val="002D2DE1"/>
    <w:rsid w:val="002E4B94"/>
    <w:rsid w:val="002F6C11"/>
    <w:rsid w:val="00302A22"/>
    <w:rsid w:val="003052C7"/>
    <w:rsid w:val="00341A98"/>
    <w:rsid w:val="00343A51"/>
    <w:rsid w:val="003507EE"/>
    <w:rsid w:val="00352AEA"/>
    <w:rsid w:val="00367FA0"/>
    <w:rsid w:val="003A146B"/>
    <w:rsid w:val="003B35BA"/>
    <w:rsid w:val="003C2A3C"/>
    <w:rsid w:val="003D6C25"/>
    <w:rsid w:val="00412705"/>
    <w:rsid w:val="00425E5A"/>
    <w:rsid w:val="00440C07"/>
    <w:rsid w:val="004437D3"/>
    <w:rsid w:val="0045510F"/>
    <w:rsid w:val="004A6CD3"/>
    <w:rsid w:val="004B684F"/>
    <w:rsid w:val="004D3490"/>
    <w:rsid w:val="004D6EE0"/>
    <w:rsid w:val="005260E0"/>
    <w:rsid w:val="00555A64"/>
    <w:rsid w:val="00590B35"/>
    <w:rsid w:val="00596EDF"/>
    <w:rsid w:val="005A2D97"/>
    <w:rsid w:val="005C5F08"/>
    <w:rsid w:val="005E38A6"/>
    <w:rsid w:val="00600527"/>
    <w:rsid w:val="0060223F"/>
    <w:rsid w:val="00650F8A"/>
    <w:rsid w:val="006742B4"/>
    <w:rsid w:val="006B435A"/>
    <w:rsid w:val="006B6694"/>
    <w:rsid w:val="006C4137"/>
    <w:rsid w:val="006C47E8"/>
    <w:rsid w:val="006C7397"/>
    <w:rsid w:val="00717E47"/>
    <w:rsid w:val="00720E05"/>
    <w:rsid w:val="00747BA2"/>
    <w:rsid w:val="0075195B"/>
    <w:rsid w:val="00760C13"/>
    <w:rsid w:val="007735EC"/>
    <w:rsid w:val="007867FE"/>
    <w:rsid w:val="007C6851"/>
    <w:rsid w:val="007C7DCA"/>
    <w:rsid w:val="007E64D8"/>
    <w:rsid w:val="007E77D2"/>
    <w:rsid w:val="0080241A"/>
    <w:rsid w:val="00831898"/>
    <w:rsid w:val="0083777B"/>
    <w:rsid w:val="00851FB1"/>
    <w:rsid w:val="0086712E"/>
    <w:rsid w:val="00892830"/>
    <w:rsid w:val="008C64DF"/>
    <w:rsid w:val="00903F6A"/>
    <w:rsid w:val="00906FEF"/>
    <w:rsid w:val="00907ABC"/>
    <w:rsid w:val="009247A4"/>
    <w:rsid w:val="00967B2F"/>
    <w:rsid w:val="00973739"/>
    <w:rsid w:val="00976358"/>
    <w:rsid w:val="009A38CA"/>
    <w:rsid w:val="009A6530"/>
    <w:rsid w:val="009C2E30"/>
    <w:rsid w:val="009F5A02"/>
    <w:rsid w:val="00A1030F"/>
    <w:rsid w:val="00A22545"/>
    <w:rsid w:val="00A23477"/>
    <w:rsid w:val="00A5012C"/>
    <w:rsid w:val="00A53457"/>
    <w:rsid w:val="00A56DFC"/>
    <w:rsid w:val="00A970F7"/>
    <w:rsid w:val="00AD058C"/>
    <w:rsid w:val="00AD0707"/>
    <w:rsid w:val="00AE3642"/>
    <w:rsid w:val="00AF7EDF"/>
    <w:rsid w:val="00B04C9D"/>
    <w:rsid w:val="00B07372"/>
    <w:rsid w:val="00B310EF"/>
    <w:rsid w:val="00B35381"/>
    <w:rsid w:val="00B36979"/>
    <w:rsid w:val="00B80030"/>
    <w:rsid w:val="00BA4EB5"/>
    <w:rsid w:val="00BD63E0"/>
    <w:rsid w:val="00C01EE4"/>
    <w:rsid w:val="00C32FB9"/>
    <w:rsid w:val="00C54387"/>
    <w:rsid w:val="00C717C7"/>
    <w:rsid w:val="00C92E80"/>
    <w:rsid w:val="00CA2748"/>
    <w:rsid w:val="00CB5137"/>
    <w:rsid w:val="00CB51ED"/>
    <w:rsid w:val="00CE737D"/>
    <w:rsid w:val="00CF353F"/>
    <w:rsid w:val="00D07E1D"/>
    <w:rsid w:val="00D45649"/>
    <w:rsid w:val="00D47E8B"/>
    <w:rsid w:val="00D81FC3"/>
    <w:rsid w:val="00DA3AB8"/>
    <w:rsid w:val="00DF7B6D"/>
    <w:rsid w:val="00E31997"/>
    <w:rsid w:val="00E464A8"/>
    <w:rsid w:val="00E50756"/>
    <w:rsid w:val="00E7098E"/>
    <w:rsid w:val="00EB58B7"/>
    <w:rsid w:val="00EC5B4C"/>
    <w:rsid w:val="00F063A1"/>
    <w:rsid w:val="00F22275"/>
    <w:rsid w:val="00F2284C"/>
    <w:rsid w:val="00F33F5D"/>
    <w:rsid w:val="00F54735"/>
    <w:rsid w:val="00F722E3"/>
    <w:rsid w:val="00F95B6E"/>
    <w:rsid w:val="00FA74C3"/>
    <w:rsid w:val="00FB07ED"/>
    <w:rsid w:val="00FC4B0F"/>
    <w:rsid w:val="00FD2654"/>
    <w:rsid w:val="00FF2F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A64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A56D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SemEspaamento">
    <w:name w:val="No Spacing"/>
    <w:uiPriority w:val="1"/>
    <w:qFormat/>
    <w:rsid w:val="00A56DFC"/>
    <w:pPr>
      <w:spacing w:after="0" w:line="240" w:lineRule="auto"/>
    </w:pPr>
    <w:rPr>
      <w:rFonts w:ascii="Calibri" w:eastAsia="Times New Roman" w:hAnsi="Calibri" w:cs="Times New Roman"/>
      <w:lang w:eastAsia="pt-PT"/>
    </w:rPr>
  </w:style>
  <w:style w:type="paragraph" w:styleId="PargrafodaLista">
    <w:name w:val="List Paragraph"/>
    <w:basedOn w:val="Normal"/>
    <w:uiPriority w:val="34"/>
    <w:qFormat/>
    <w:rsid w:val="00A56DFC"/>
    <w:pPr>
      <w:ind w:left="720"/>
      <w:contextualSpacing/>
    </w:pPr>
  </w:style>
  <w:style w:type="character" w:styleId="Forte">
    <w:name w:val="Strong"/>
    <w:basedOn w:val="Tipodeletrapredefinidodopargrafo"/>
    <w:uiPriority w:val="22"/>
    <w:qFormat/>
    <w:rsid w:val="00A970F7"/>
    <w:rPr>
      <w:b/>
      <w:bCs/>
    </w:rPr>
  </w:style>
  <w:style w:type="character" w:styleId="nfase">
    <w:name w:val="Emphasis"/>
    <w:basedOn w:val="Tipodeletrapredefinidodopargrafo"/>
    <w:uiPriority w:val="20"/>
    <w:qFormat/>
    <w:rsid w:val="00A970F7"/>
    <w:rPr>
      <w:i/>
      <w:iCs/>
    </w:rPr>
  </w:style>
  <w:style w:type="character" w:styleId="Hiperligao">
    <w:name w:val="Hyperlink"/>
    <w:basedOn w:val="Tipodeletrapredefinidodopargrafo"/>
    <w:uiPriority w:val="99"/>
    <w:semiHidden/>
    <w:unhideWhenUsed/>
    <w:rsid w:val="00343A5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F5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xmsolistparagraph">
    <w:name w:val="x_msolistparagraph"/>
    <w:basedOn w:val="Normal"/>
    <w:rsid w:val="00253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font8">
    <w:name w:val="font_8"/>
    <w:basedOn w:val="Normal"/>
    <w:rsid w:val="003D6C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table" w:styleId="Tabelacomgrelha">
    <w:name w:val="Table Grid"/>
    <w:basedOn w:val="Tabelanormal"/>
    <w:uiPriority w:val="59"/>
    <w:rsid w:val="000B08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arcter"/>
    <w:uiPriority w:val="99"/>
    <w:semiHidden/>
    <w:unhideWhenUsed/>
    <w:rsid w:val="008377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83777B"/>
  </w:style>
  <w:style w:type="paragraph" w:styleId="Rodap">
    <w:name w:val="footer"/>
    <w:basedOn w:val="Normal"/>
    <w:link w:val="RodapCarcter"/>
    <w:uiPriority w:val="99"/>
    <w:unhideWhenUsed/>
    <w:rsid w:val="008377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8377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31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5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70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8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3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86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8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5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407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058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0912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60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7564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5446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3297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0475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33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9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3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15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44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25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71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13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06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62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89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10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410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630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722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82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4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1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1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3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7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0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6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9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49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1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3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1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5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9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0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42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15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5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2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9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6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94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9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2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4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2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3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4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22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49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3</Pages>
  <Words>1345</Words>
  <Characters>7264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Padre Lino Maia</dc:creator>
  <cp:lastModifiedBy>Padre Lino Maia</cp:lastModifiedBy>
  <cp:revision>77</cp:revision>
  <dcterms:created xsi:type="dcterms:W3CDTF">2019-01-28T18:26:00Z</dcterms:created>
  <dcterms:modified xsi:type="dcterms:W3CDTF">2020-03-25T06:43:00Z</dcterms:modified>
</cp:coreProperties>
</file>