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5EB" w:rsidRDefault="009E65EB">
      <w:r>
        <w:rPr>
          <w:noProof/>
          <w:lang w:eastAsia="pt-P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-356235</wp:posOffset>
            </wp:positionH>
            <wp:positionV relativeFrom="paragraph">
              <wp:posOffset>-356870</wp:posOffset>
            </wp:positionV>
            <wp:extent cx="809625" cy="923925"/>
            <wp:effectExtent l="19050" t="0" r="9525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2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E65EB" w:rsidRDefault="009E65EB"/>
    <w:p w:rsidR="00642B88" w:rsidRDefault="00642B88"/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 w:rsidRPr="009E65EB">
        <w:rPr>
          <w:rFonts w:ascii="Calibri Light" w:hAnsi="Calibri Light" w:cs="Calibri Light"/>
          <w:b/>
          <w:color w:val="000042"/>
          <w:sz w:val="22"/>
          <w:szCs w:val="22"/>
          <w:bdr w:val="none" w:sz="0" w:space="0" w:color="auto" w:frame="1"/>
        </w:rPr>
        <w:t>Representantes das Entidades do Setor Social e Solidário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,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i/>
          <w:iCs/>
          <w:color w:val="201F1E"/>
          <w:sz w:val="22"/>
          <w:szCs w:val="22"/>
          <w:bdr w:val="none" w:sz="0" w:space="0" w:color="auto" w:frame="1"/>
        </w:rPr>
        <w:t>“Encarrega-me a Senhora Diretora-geral da Saúde , Dra. Graça Freitas, de solicitar a vossa melhor atenção e colaboração na divulgação das seguintes medidas: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i/>
          <w:iCs/>
          <w:color w:val="201F1E"/>
          <w:sz w:val="22"/>
          <w:szCs w:val="22"/>
          <w:bdr w:val="none" w:sz="0" w:space="0" w:color="auto" w:frame="1"/>
        </w:rPr>
        <w:t> 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Dar cumprimento à  Orientação 009/2020 da DGS;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Manter atualizado o contacto da Autoridade de Saúde territorialmente competente;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Reforçar a obrigatoriedade de teste negativo a COVID a todas as admissões e isolamento mínimo de 14 dias;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Todas as saídas de doentes das unidades, por motivos de agudização ou tratamentos inadiáveis, obrigam a novo período de isolamento no regresso,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Separar os cuidadores por grupos, sem contacto entre si, com atendimento dedicado a grupos de utentes;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Os cuidadores/trabalhadores deverão monitorizar a temperatura e sintomas como a tosse e falta de ar, antes de iniciarem a jornada de trabalho;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Os cuidadores/trabalhadores que apresentem sintomas não devem apresentar-se ao serviço;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Os cuidadores/trabalhadores deverão observar medidas estritas de higiene das mãos e etiqueta respiratória;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Deve ser assegurada a limpeza e desinfeção frequente de superfícies e objetos;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Reduzir a circulação dos utentes e dos cuidadores/trabalhadores para minimizar a transmissão;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Utilizar espaços comuns por turnos de forma a manter, entre os utentes, 1 a 2 metros de distância;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Cessar atividades lúdicas coletivas;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Desencontrar as horas das refeições, para diminuir o contacto;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Isolar, de imediato, qualquer pessoa com sintomas (febre, tosse, falta de ar), e contactar o médico que presta serviço à instituição para avaliação clinica e decisão de encaminhamento;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Se o caso for considerado suspeito, contactar a Autoridade de Saúde Local;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Acatar as determinações da Autoridade de Saúde;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Perante um caso positivo, sempre que exequível, testar todos os contactos do doente. O objetivo de fazer testes não é dar falsa tranquilidade com um teste negativo mas sim detetar precocemente casos positivos e isola-los;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A realização dos testes aos utentes para alta ou transferência para outra unidade ou equipa domiciliária, deve ser articulada entre o médico da entidade e o médico de família do utente , ou com a Autoridade de Saúde local, caso o utente não tenha médico de família;</w:t>
      </w:r>
    </w:p>
    <w:p w:rsidR="009E65EB" w:rsidRPr="00CC62EC" w:rsidRDefault="009E65EB" w:rsidP="009E65EB">
      <w:pPr>
        <w:pStyle w:val="xmsonormal"/>
        <w:shd w:val="clear" w:color="auto" w:fill="FFFFFF"/>
        <w:spacing w:before="0" w:beforeAutospacing="0" w:after="0" w:afterAutospacing="0"/>
        <w:ind w:left="1080" w:hanging="360"/>
        <w:rPr>
          <w:rFonts w:asciiTheme="minorHAnsi" w:hAnsiTheme="minorHAnsi" w:cstheme="minorHAnsi"/>
          <w:color w:val="201F1E"/>
          <w:sz w:val="22"/>
          <w:szCs w:val="22"/>
        </w:rPr>
      </w:pPr>
      <w:r w:rsidRPr="00CC62EC">
        <w:rPr>
          <w:rFonts w:asciiTheme="minorHAnsi" w:hAnsiTheme="minorHAnsi" w:cstheme="minorHAnsi"/>
          <w:color w:val="201F1E"/>
          <w:sz w:val="22"/>
          <w:szCs w:val="22"/>
          <w:bdr w:val="none" w:sz="0" w:space="0" w:color="auto" w:frame="1"/>
        </w:rPr>
        <w:t></w:t>
      </w:r>
      <w:r w:rsidRPr="00CC62EC">
        <w:rPr>
          <w:rFonts w:asciiTheme="minorHAnsi" w:hAnsiTheme="minorHAnsi" w:cstheme="minorHAnsi"/>
          <w:color w:val="201F1E"/>
          <w:sz w:val="14"/>
          <w:szCs w:val="14"/>
          <w:bdr w:val="none" w:sz="0" w:space="0" w:color="auto" w:frame="1"/>
        </w:rPr>
        <w:t>       </w:t>
      </w:r>
      <w:r w:rsidRPr="00CC62EC">
        <w:rPr>
          <w:rFonts w:asciiTheme="minorHAnsi" w:hAnsiTheme="minorHAnsi" w:cstheme="minorHAnsi"/>
          <w:i/>
          <w:iCs/>
          <w:color w:val="201F1E"/>
          <w:sz w:val="22"/>
          <w:szCs w:val="22"/>
          <w:bdr w:val="none" w:sz="0" w:space="0" w:color="auto" w:frame="1"/>
        </w:rPr>
        <w:t>Colaborar com a Autoridade de Saúde na identificação e rastreio de contactos.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i/>
          <w:iCs/>
          <w:color w:val="201F1E"/>
          <w:sz w:val="22"/>
          <w:szCs w:val="22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i/>
          <w:iCs/>
          <w:color w:val="201F1E"/>
          <w:sz w:val="22"/>
          <w:szCs w:val="22"/>
          <w:bdr w:val="none" w:sz="0" w:space="0" w:color="auto" w:frame="1"/>
        </w:rPr>
        <w:t>Ressalvo que </w:t>
      </w:r>
      <w:r>
        <w:rPr>
          <w:rFonts w:ascii="Calibri Light" w:hAnsi="Calibri Light" w:cs="Calibri Light"/>
          <w:b/>
          <w:bCs/>
          <w:i/>
          <w:iCs/>
          <w:color w:val="201F1E"/>
          <w:sz w:val="22"/>
          <w:szCs w:val="22"/>
          <w:bdr w:val="none" w:sz="0" w:space="0" w:color="auto" w:frame="1"/>
        </w:rPr>
        <w:t>estão interditas todas as visitas ou entradas de pessoas estranhas às entidades</w:t>
      </w:r>
      <w:r>
        <w:rPr>
          <w:rFonts w:ascii="Calibri Light" w:hAnsi="Calibri Light" w:cs="Calibri Light"/>
          <w:i/>
          <w:iCs/>
          <w:color w:val="201F1E"/>
          <w:sz w:val="22"/>
          <w:szCs w:val="22"/>
          <w:bdr w:val="none" w:sz="0" w:space="0" w:color="auto" w:frame="1"/>
        </w:rPr>
        <w:t> e que as colocações para </w:t>
      </w:r>
      <w:r>
        <w:rPr>
          <w:rFonts w:ascii="Calibri Light" w:hAnsi="Calibri Light" w:cs="Calibri Light"/>
          <w:b/>
          <w:bCs/>
          <w:i/>
          <w:iCs/>
          <w:color w:val="201F1E"/>
          <w:sz w:val="22"/>
          <w:szCs w:val="22"/>
          <w:bdr w:val="none" w:sz="0" w:space="0" w:color="auto" w:frame="1"/>
        </w:rPr>
        <w:t>Descanso do Cuidador estão suspensas</w:t>
      </w:r>
      <w:r>
        <w:rPr>
          <w:rFonts w:ascii="Calibri Light" w:hAnsi="Calibri Light" w:cs="Calibri Light"/>
          <w:i/>
          <w:iCs/>
          <w:color w:val="201F1E"/>
          <w:sz w:val="22"/>
          <w:szCs w:val="22"/>
          <w:bdr w:val="none" w:sz="0" w:space="0" w:color="auto" w:frame="1"/>
        </w:rPr>
        <w:t>, até indicação em contrário, assim como as </w:t>
      </w:r>
      <w:r>
        <w:rPr>
          <w:rFonts w:ascii="Calibri Light" w:hAnsi="Calibri Light" w:cs="Calibri Light"/>
          <w:b/>
          <w:bCs/>
          <w:i/>
          <w:iCs/>
          <w:color w:val="201F1E"/>
          <w:sz w:val="22"/>
          <w:szCs w:val="22"/>
          <w:bdr w:val="none" w:sz="0" w:space="0" w:color="auto" w:frame="1"/>
        </w:rPr>
        <w:t>transferências de unidades por proximidade</w:t>
      </w:r>
      <w:r>
        <w:rPr>
          <w:rFonts w:ascii="Calibri Light" w:hAnsi="Calibri Light" w:cs="Calibri Light"/>
          <w:i/>
          <w:iCs/>
          <w:color w:val="201F1E"/>
          <w:sz w:val="22"/>
          <w:szCs w:val="22"/>
          <w:bdr w:val="none" w:sz="0" w:space="0" w:color="auto" w:frame="1"/>
        </w:rPr>
        <w:t>.”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lastRenderedPageBreak/>
        <w:t>Solicitamos, assim, a V/ melhor colaboração para a difusão desta informação, junto de todos as entidades</w:t>
      </w:r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 V/ associadas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.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Ressalva-se que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 mais informações, esclarecimentos e acesso a documentação, </w:t>
      </w:r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bem como atualizações, 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devem ser consultados</w:t>
      </w:r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: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ind w:left="770" w:hanging="360"/>
        <w:rPr>
          <w:rFonts w:ascii="Calibri" w:hAnsi="Calibri" w:cs="Calibri"/>
          <w:color w:val="201F1E"/>
          <w:sz w:val="22"/>
          <w:szCs w:val="22"/>
        </w:rPr>
      </w:pPr>
      <w:r>
        <w:rPr>
          <w:rFonts w:ascii="Symbol" w:hAnsi="Symbol" w:cs="Calibri"/>
          <w:color w:val="000042"/>
          <w:sz w:val="22"/>
          <w:szCs w:val="22"/>
          <w:bdr w:val="none" w:sz="0" w:space="0" w:color="auto" w:frame="1"/>
        </w:rPr>
        <w:t></w:t>
      </w:r>
      <w:r>
        <w:rPr>
          <w:color w:val="000042"/>
          <w:sz w:val="14"/>
          <w:szCs w:val="14"/>
          <w:bdr w:val="none" w:sz="0" w:space="0" w:color="auto" w:frame="1"/>
        </w:rPr>
        <w:t>       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o</w:t>
      </w:r>
      <w:r>
        <w:rPr>
          <w:rFonts w:ascii="Calibri Light" w:hAnsi="Calibri Light" w:cs="Calibri Light"/>
          <w:i/>
          <w:iCs/>
          <w:color w:val="000042"/>
          <w:sz w:val="22"/>
          <w:szCs w:val="22"/>
          <w:bdr w:val="none" w:sz="0" w:space="0" w:color="auto" w:frame="1"/>
        </w:rPr>
        <w:t> </w:t>
      </w:r>
      <w:proofErr w:type="spellStart"/>
      <w:r>
        <w:rPr>
          <w:rFonts w:ascii="Calibri Light" w:hAnsi="Calibri Light" w:cs="Calibri Light"/>
          <w:i/>
          <w:iCs/>
          <w:color w:val="000046"/>
          <w:sz w:val="22"/>
          <w:szCs w:val="22"/>
          <w:bdr w:val="none" w:sz="0" w:space="0" w:color="auto" w:frame="1"/>
        </w:rPr>
        <w:t>microsite</w:t>
      </w:r>
      <w:proofErr w:type="spellEnd"/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 COVID – 19 na página da internet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 da Direção-Geral de Saúde:</w:t>
      </w:r>
      <w:r>
        <w:rPr>
          <w:rFonts w:ascii="Calibri" w:hAnsi="Calibri" w:cs="Calibri"/>
          <w:color w:val="201F1E"/>
          <w:sz w:val="22"/>
          <w:szCs w:val="22"/>
        </w:rPr>
        <w:t> </w:t>
      </w:r>
      <w:hyperlink r:id="rId5" w:tgtFrame="_blank" w:history="1">
        <w:r>
          <w:rPr>
            <w:rStyle w:val="Hiperligao"/>
            <w:rFonts w:ascii="Calibri" w:hAnsi="Calibri" w:cs="Calibri"/>
            <w:sz w:val="22"/>
            <w:szCs w:val="22"/>
            <w:bdr w:val="none" w:sz="0" w:space="0" w:color="auto" w:frame="1"/>
          </w:rPr>
          <w:t>https://www.dgs.pt/corona-virus.aspx</w:t>
        </w:r>
      </w:hyperlink>
      <w:r>
        <w:rPr>
          <w:rFonts w:ascii="Calibri" w:hAnsi="Calibri" w:cs="Calibri"/>
          <w:color w:val="201F1E"/>
          <w:sz w:val="22"/>
          <w:szCs w:val="22"/>
        </w:rPr>
        <w:t>,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ind w:left="770" w:hanging="360"/>
        <w:rPr>
          <w:rFonts w:ascii="Calibri" w:hAnsi="Calibri" w:cs="Calibri"/>
          <w:color w:val="201F1E"/>
          <w:sz w:val="22"/>
          <w:szCs w:val="22"/>
        </w:rPr>
      </w:pPr>
      <w:r>
        <w:rPr>
          <w:rFonts w:ascii="Symbol" w:hAnsi="Symbol" w:cs="Calibri"/>
          <w:color w:val="000046"/>
          <w:sz w:val="22"/>
          <w:szCs w:val="22"/>
          <w:bdr w:val="none" w:sz="0" w:space="0" w:color="auto" w:frame="1"/>
        </w:rPr>
        <w:t></w:t>
      </w:r>
      <w:r>
        <w:rPr>
          <w:color w:val="000046"/>
          <w:sz w:val="14"/>
          <w:szCs w:val="14"/>
          <w:bdr w:val="none" w:sz="0" w:space="0" w:color="auto" w:frame="1"/>
        </w:rPr>
        <w:t>       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a página da internet da Segurança Social:</w:t>
      </w:r>
      <w:r>
        <w:rPr>
          <w:rFonts w:ascii="Calibri" w:hAnsi="Calibri" w:cs="Calibri"/>
          <w:color w:val="201F1E"/>
          <w:sz w:val="22"/>
          <w:szCs w:val="22"/>
        </w:rPr>
        <w:t> </w:t>
      </w:r>
      <w:hyperlink r:id="rId6" w:tgtFrame="_blank" w:history="1">
        <w:r>
          <w:rPr>
            <w:rStyle w:val="Hiperligao"/>
            <w:rFonts w:ascii="Calibri" w:hAnsi="Calibri" w:cs="Calibri"/>
            <w:sz w:val="22"/>
            <w:szCs w:val="22"/>
            <w:bdr w:val="none" w:sz="0" w:space="0" w:color="auto" w:frame="1"/>
          </w:rPr>
          <w:t>http://www.seg-social.pt/inicio</w:t>
        </w:r>
      </w:hyperlink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ind w:left="770" w:hanging="360"/>
        <w:rPr>
          <w:rFonts w:ascii="Calibri" w:hAnsi="Calibri" w:cs="Calibri"/>
          <w:color w:val="201F1E"/>
          <w:sz w:val="22"/>
          <w:szCs w:val="22"/>
        </w:rPr>
      </w:pPr>
      <w:r>
        <w:rPr>
          <w:rFonts w:ascii="Symbol" w:hAnsi="Symbol" w:cs="Calibri"/>
          <w:color w:val="000046"/>
          <w:sz w:val="22"/>
          <w:szCs w:val="22"/>
          <w:bdr w:val="none" w:sz="0" w:space="0" w:color="auto" w:frame="1"/>
        </w:rPr>
        <w:t></w:t>
      </w:r>
      <w:r>
        <w:rPr>
          <w:color w:val="000046"/>
          <w:sz w:val="14"/>
          <w:szCs w:val="14"/>
          <w:bdr w:val="none" w:sz="0" w:space="0" w:color="auto" w:frame="1"/>
        </w:rPr>
        <w:t>       </w:t>
      </w: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As questões e/ou orientações especificas devem ser dirigidas às estruturas regionais ou locais de saúde pública.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6"/>
          <w:sz w:val="22"/>
          <w:szCs w:val="22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Continuaremos em estreita articulação para qualquer atualização da informação e/ou orientações.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Arial" w:hAnsi="Arial" w:cs="Arial"/>
          <w:color w:val="000000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Cordialmente,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 Light" w:hAnsi="Calibri Light" w:cs="Calibri Light"/>
          <w:color w:val="000042"/>
          <w:sz w:val="22"/>
          <w:szCs w:val="22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b/>
          <w:bCs/>
          <w:color w:val="7F7F7F"/>
          <w:sz w:val="20"/>
          <w:szCs w:val="20"/>
          <w:bdr w:val="none" w:sz="0" w:space="0" w:color="auto" w:frame="1"/>
        </w:rPr>
        <w:t>Sofia Borges Pereira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b/>
          <w:bCs/>
          <w:color w:val="7F7F7F"/>
          <w:sz w:val="16"/>
          <w:szCs w:val="16"/>
          <w:bdr w:val="none" w:sz="0" w:space="0" w:color="auto" w:frame="1"/>
        </w:rPr>
        <w:t>Vogal do Conselho Diretivo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b/>
          <w:bCs/>
          <w:color w:val="7F7F7F"/>
          <w:sz w:val="16"/>
          <w:szCs w:val="16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 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Instituto da Segurança Social, I.P.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Avenida 5 de Outubro, nº 175, 1069-451 Lisboa</w:t>
      </w:r>
    </w:p>
    <w:p w:rsidR="009E65EB" w:rsidRDefault="009E65EB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proofErr w:type="spellStart"/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Tel</w:t>
      </w:r>
      <w:proofErr w:type="spellEnd"/>
      <w:r>
        <w:rPr>
          <w:rFonts w:ascii="inherit" w:hAnsi="inherit" w:cs="Calibri"/>
          <w:color w:val="7F7F7F"/>
          <w:sz w:val="16"/>
          <w:szCs w:val="16"/>
          <w:bdr w:val="none" w:sz="0" w:space="0" w:color="auto" w:frame="1"/>
        </w:rPr>
        <w:t>: +351 300 510 359</w:t>
      </w:r>
    </w:p>
    <w:p w:rsidR="009E65EB" w:rsidRDefault="00975A30" w:rsidP="009E65EB">
      <w:pPr>
        <w:pStyle w:val="xmsonormal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201F1E"/>
          <w:sz w:val="22"/>
          <w:szCs w:val="22"/>
        </w:rPr>
      </w:pPr>
      <w:hyperlink r:id="rId7" w:tgtFrame="_blank" w:history="1">
        <w:r w:rsidR="009E65EB">
          <w:rPr>
            <w:rStyle w:val="Hiperligao"/>
            <w:rFonts w:ascii="inherit" w:hAnsi="inherit" w:cs="Calibri"/>
            <w:sz w:val="16"/>
            <w:szCs w:val="16"/>
            <w:bdr w:val="none" w:sz="0" w:space="0" w:color="auto" w:frame="1"/>
          </w:rPr>
          <w:t>www.seg-social.pt</w:t>
        </w:r>
      </w:hyperlink>
    </w:p>
    <w:p w:rsidR="009E65EB" w:rsidRDefault="009E65EB"/>
    <w:sectPr w:rsidR="009E65EB" w:rsidSect="00642B8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E65EB"/>
    <w:rsid w:val="00642B88"/>
    <w:rsid w:val="00975A30"/>
    <w:rsid w:val="009E65EB"/>
    <w:rsid w:val="00CC6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88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9E65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Hiperligao">
    <w:name w:val="Hyperlink"/>
    <w:basedOn w:val="Tipodeletrapredefinidodopargrafo"/>
    <w:uiPriority w:val="99"/>
    <w:semiHidden/>
    <w:unhideWhenUsed/>
    <w:rsid w:val="009E65E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9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08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seg-social.p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eg-social.pt/inicio" TargetMode="External"/><Relationship Id="rId5" Type="http://schemas.openxmlformats.org/officeDocument/2006/relationships/hyperlink" Target="https://www.dgs.pt/corona-virus.aspx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580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Padre Lino Maia</dc:creator>
  <cp:lastModifiedBy>Padre Lino Maia</cp:lastModifiedBy>
  <cp:revision>2</cp:revision>
  <dcterms:created xsi:type="dcterms:W3CDTF">2020-03-26T00:12:00Z</dcterms:created>
  <dcterms:modified xsi:type="dcterms:W3CDTF">2020-03-26T00:24:00Z</dcterms:modified>
</cp:coreProperties>
</file>