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DBA" w:rsidRPr="00F50DBA" w:rsidRDefault="00F50DBA" w:rsidP="003E2B7D">
      <w:pPr>
        <w:spacing w:after="105" w:line="240" w:lineRule="auto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30"/>
          <w:szCs w:val="30"/>
          <w:lang w:eastAsia="pt-PT"/>
        </w:rPr>
      </w:pPr>
      <w:r w:rsidRPr="00F50DBA">
        <w:rPr>
          <w:rFonts w:ascii="Arial" w:eastAsia="Times New Roman" w:hAnsi="Arial" w:cs="Arial"/>
          <w:b/>
          <w:bCs/>
          <w:color w:val="333333"/>
          <w:kern w:val="36"/>
          <w:sz w:val="30"/>
          <w:szCs w:val="30"/>
          <w:lang w:eastAsia="pt-PT"/>
        </w:rPr>
        <w:t>Portaria n.º 85-A/2020</w:t>
      </w:r>
    </w:p>
    <w:p w:rsidR="00F50DBA" w:rsidRPr="00F50DBA" w:rsidRDefault="00F50DBA" w:rsidP="003E2B7D">
      <w:pPr>
        <w:numPr>
          <w:ilvl w:val="0"/>
          <w:numId w:val="3"/>
        </w:numPr>
        <w:spacing w:before="210" w:after="0" w:line="240" w:lineRule="auto"/>
        <w:ind w:left="0"/>
        <w:jc w:val="both"/>
        <w:rPr>
          <w:rFonts w:ascii="Arial" w:eastAsia="Times New Roman" w:hAnsi="Arial" w:cs="Arial"/>
          <w:color w:val="333333"/>
          <w:sz w:val="21"/>
          <w:szCs w:val="21"/>
          <w:lang w:eastAsia="pt-PT"/>
        </w:rPr>
      </w:pPr>
      <w:r w:rsidRPr="00F50DBA">
        <w:rPr>
          <w:rFonts w:ascii="Arial" w:eastAsia="Times New Roman" w:hAnsi="Arial" w:cs="Arial"/>
          <w:b/>
          <w:bCs/>
          <w:caps/>
          <w:color w:val="333333"/>
          <w:sz w:val="18"/>
          <w:szCs w:val="18"/>
          <w:lang w:eastAsia="pt-PT"/>
        </w:rPr>
        <w:t>SUMÁRIO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Define e regulamenta os termos e as condições de atribuição dos apoios de caráter extraordinário, temporário e transitório, destinados ao setor social e solidário, em razão da situação epidemiológica do novo coronavírus - COVID 19, tendo em vista apoiar as instituições particulares de solidariedade social, cooperativas de solidariedade social, organizações não-governamentais das pessoas com deficiência e equiparadas no funcionamento das respostas sociais</w:t>
      </w:r>
    </w:p>
    <w:p w:rsidR="00F50DBA" w:rsidRPr="00F50DBA" w:rsidRDefault="00F50DBA" w:rsidP="003E2B7D">
      <w:pPr>
        <w:numPr>
          <w:ilvl w:val="0"/>
          <w:numId w:val="4"/>
        </w:numPr>
        <w:spacing w:before="420" w:after="0" w:line="240" w:lineRule="auto"/>
        <w:ind w:left="0"/>
        <w:jc w:val="both"/>
        <w:rPr>
          <w:rFonts w:ascii="Arial" w:eastAsia="Times New Roman" w:hAnsi="Arial" w:cs="Arial"/>
          <w:color w:val="333333"/>
          <w:sz w:val="21"/>
          <w:szCs w:val="21"/>
          <w:lang w:eastAsia="pt-PT"/>
        </w:rPr>
      </w:pPr>
      <w:r w:rsidRPr="00F50DBA">
        <w:rPr>
          <w:rFonts w:ascii="Arial" w:eastAsia="Times New Roman" w:hAnsi="Arial" w:cs="Arial"/>
          <w:b/>
          <w:bCs/>
          <w:caps/>
          <w:color w:val="333333"/>
          <w:sz w:val="18"/>
          <w:szCs w:val="18"/>
          <w:lang w:eastAsia="pt-PT"/>
        </w:rPr>
        <w:t>TEXTO</w:t>
      </w:r>
    </w:p>
    <w:p w:rsidR="00F50DBA" w:rsidRPr="003E2B7D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pt-PT"/>
        </w:rPr>
      </w:pPr>
      <w:r w:rsidRPr="003E2B7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pt-PT"/>
        </w:rPr>
        <w:t>Portaria n.º 85-A/2020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Sumário: Define e regulamenta os termos e as condições de atribuição dos apoios de caráter extraordinário, temporário e transitório, destinados ao setor social e solidário, em razão da situação epidemiológica do novo coronavírus - COVID 19, tendo em vista apoiar as instituições particulares de solidariedade social, cooperativas de solidariedade social, organizações não-governamentais das pessoas com deficiência e equiparadas no funcionamento das respostas sociais.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Atendendo à emergência de saúde pública de âmbito internacional, declarada pela Organização Mundial de Saúde, no dia 30 de janeiro de 2020, bem como à classificação no dia 11 de março de 2020, da doença COVID-19 como uma pandemia, o Governo tem vindo a aprovar um conjunto de medidas extraordinárias e de caráter urgente, em diversas matérias.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Para fazer face ao desenvolvimento da atividade judicial e administrativa, foi aprovado o </w:t>
      </w:r>
      <w:hyperlink r:id="rId5" w:tgtFrame="_blank" w:tooltip="Decreto-Lei n.º 10-A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10-A/2020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13 de março, e a </w:t>
      </w:r>
      <w:hyperlink r:id="rId6" w:tgtFrame="_blank" w:tooltip="Lei n.º 1-A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Lei n.º 1-A/2020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19 de março.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Com efeito, no âmbito do cumprimento do </w:t>
      </w:r>
      <w:hyperlink r:id="rId7" w:tgtFrame="_blank" w:tooltip="Decreto n.º 2-B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 n.º 2-B/2020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2 de abril, que procede à execução da declaração do estado de emergência efetuada pelo </w:t>
      </w:r>
      <w:hyperlink r:id="rId8" w:tgtFrame="_blank" w:tooltip="Decreto do Presidente da República n.º 14-A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 do Presidente da República n.º 14-A/2020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18 de março, e renovada pelo </w:t>
      </w:r>
      <w:hyperlink r:id="rId9" w:tgtFrame="_blank" w:tooltip="Decreto do Presidente da República n.º 17-A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 do Presidente da República n.º 17-A/2020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2 de abril, encontra-se suspenso o funcionamento de respostas sociais na área da infância e juventude, na área da população idosa e na área da população adulta com deficiência e incapacidade.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Paralelamente, impõe-se ao setor social e solidário um amplo e exigente leque de respostas essenciais de apoio à população, tornando-se necessário aprovar um conjunto de medidas de apoio extraordinário à ação das Instituições Particulares de Solidariedade Social e entidades equiparadas.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Neste contexto, por força das circunstâncias, revela-se imprescindível flexibilizar e adaptar as respostas sociais, quer no âmbito da frequência, quer no incremento da atividade de prestação de apoio social no domicílio, garantindo, entre outros serviços, o fornecimento de alimentação.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 xml:space="preserve">Por outro lado, importa também promover medidas que aumentem a possibilidade de distanciamento social e isolamento profilático e nesse sentido, com o intuito de assegurar a existência de vagas em respostas sociais de acolhimento residencial, estabelece-se, também, a possibilidade, através de um regime legal adequado a esta realidade excecional, de acolhimento de pessoas que, por alta hospitalar ou por outras necessidades detetadas na </w:t>
      </w: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lastRenderedPageBreak/>
        <w:t>comunidade, não possam regressar ou permanecer nas suas residências por falta de condições de autonomia e ou inexistência do necessário enquadramento familiar.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Com o objetivo de apoiar e agilizar a ação das Instituições Particulares de Solidariedade Social e entidades equiparadas, importa adotar um conjunto de medidas de caráter extraordinário.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Foram ouvidas a Confederação Nacional das Instituições de Solidariedade, a União das Misericórdias Portuguesas, a União das Mutualidades Portuguesas e a CONFECOOP - Confederação Portuguesa Cooperativa.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Assim: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Nos termos da </w:t>
      </w:r>
      <w:hyperlink r:id="rId10" w:tgtFrame="_blank" w:tooltip="Resolução do Conselho de Ministros n.º 10-A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Resolução do Conselho de Ministros n.º 10-A/2020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13 de março, manda o Governo, pelo Secretário de Estado da Segurança Social, pela Secretária de Estado da Inclusão das Pessoas com Deficiência e pela Secretária de Estado da Ação Social, e ao abrigo de competência delegada pelo Despacho n.º 892/2020, de 22 de janeiro, o seguinte: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Objeto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 presente portaria define e regulamenta os termos e as condições de atribuição dos apoios de caráter extraordinário, temporário e transitório, destinados ao setor social e solidário, em razão da situação epidemiológica do novo coronavírus - COVID 19, tendo em vista apoiar as instituições particulares de solidariedade social, cooperativas de solidariedade social, organizações não-governamentais das pessoas com deficiência e equiparadas no funcionamento das respostas sociais.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2.º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Medidas de apoio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As medidas de apoio referidas no artigo anterior são as seguintes: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a) Garantia do pagamento da comparticipação financeira da Segurança Social no âmbito dos acordos de cooperação celebrados em todas as respostas sociais cuja atividade foi suspensa, assegurando o pagamento efetivado por referência ao mês de fevereiro de 2020, conforme as regras em vigor à data;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b) Comparticipação dos cuidados domiciliados;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c) Autonomia na redução das comparticipações familiares;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d) Agilização da abertura de estabelecimentos de apoio social com processos de licenciamento em curso;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e) Possibilidade de recurso a ações de voluntariado;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f) Apoio à manutenção dos postos de trabalho;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g) Equiparação a trabalhadores de serviços essenciais;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h) Prorrogação de prazos de apresentação de contas anuais das instituições;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lastRenderedPageBreak/>
        <w:t>i) Diferimento de obrigações fiscais e contributivas;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j) Proteção e apoio à Tesouraria e Liquidez;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k) Linha de Financiamento específica para o setor social;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l) Apoio técnico do Instituto da Segurança Social, I. P., para linha de financiamento a fundo perdido da Fundação Calouste Gulbenkian;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m) Diferimento de pagamentos do Fundo de Reestruturação do Setor Solidário.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3.º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Âmbito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As medidas previstas na presente portaria aplicam-se às instituições com acordo de cooperação celebrado com a segurança social para o funcionamento de respostas sociais, ao abrigo da </w:t>
      </w:r>
      <w:hyperlink r:id="rId11" w:tgtFrame="_blank" w:tooltip="Portaria n.º 196-A/2015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Portaria n.º 196-A/2015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 de julho, na redação que lhe foi dada pela </w:t>
      </w:r>
      <w:hyperlink r:id="rId12" w:tgtFrame="_blank" w:tooltip="Portaria n.º 218-D/2019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Portaria n.º 218-D/2019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15 de julho, bem como às organizações não-governamentais das pessoas com deficiência, previstas no </w:t>
      </w:r>
      <w:hyperlink r:id="rId13" w:tgtFrame="_blank" w:tooltip="Decreto-Lei n.º 106/2013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106/2013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30 de julho.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4.º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Comparticipação financeira da segurança social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1 - O montante da comparticipação financeira da segurança social devida às instituições, nas respostas suspensas, mantém-se inalterado por um período de três meses, face ao valor devido referente ao mês de fevereiro de 2020, conforme as regras em vigor à data.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2 - A comparticipação financeira da segurança social é paga, com caráter extraordinário, temporário e transitório, em montante igual ou superior ao processado no último mês em que ocorreu a comunicação mensal de frequências, através da plataforma informática da segurança social direta (SSD).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3 - Os trabalhadores das respostas sociais cujo funcionamento não se encontre em modo habitual devem, respeitando as medidas de contingência relacionadas com a COVID-19: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a) Manter as atividades, serviços e cuidados aos utentes das respostas desenvolvidas, adequando-os à situação de excecionalidade que o País enfrenta; ou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b) Desempenhar outras atividades consideradas necessárias, sem prejuízo da necessidade de acautelar o conteúdo funcional do trabalhador.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5.º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Domiciliação de apoio social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1 - Nas situações em que seja necessário domiciliar o apoio prestado pelos Centros de Dia, cuja atividade foi suspensa por força da situação epidemiológica da COVID-19, o montante da comparticipação financeira da segurança social é majorado no valor correspondente à diferença da comparticipação da resposta de centro de dia para a de serviço de apoio domiciliário, até ao limite máximo de serviços prestados a 100 %.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lastRenderedPageBreak/>
        <w:t>2 - A entidade submete, mensalmente na segurança social direta, o número de utentes em acordo de cooperação na resposta centro de dia aos quais foi prestado o serviço de apoio domiciliário.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3 - Mensalmente, em modelo próprio adaptado, a entidade remete ao Centro Distrital do Instituto de Segurança Social, I. P., os serviços prestados a cada utente.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4 - A comparticipação mínima terá por referencial o valor comparticipado na resposta de centro de dia.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5 - A necessidade efetiva da domiciliação da resposta, bem como os serviços estritamente necessários a prestar para assegurar a continuidade dos cuidados, nomeadamente de higiene e alimentação, devem ser tecnicamente avaliados pelas instituições.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6 - As instituições devem também garantir o apoio referenciado nos números anteriores aos utentes de Centro de Atividades Ocupacionais que, residindo com familiares, não possam por estes receber os necessários cuidados.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6.º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Comparticipações familiares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Para o cálculo do valor da comparticipação familiar, no âmbito do presente período excecional, as instituições devem observar os critérios e disposições constantes do anexo à </w:t>
      </w:r>
      <w:hyperlink r:id="rId14" w:tgtFrame="_blank" w:tooltip="Portaria n.º 196-A/2015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Portaria n.º 196-A/2015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 de julho, na sua redação atual, bem como do regulamento interno de cada instituição, sem prejuízo de poderem ser aplicadas percentagens de redução superiores às constantes dos números 9.1 e 9.3 do anexo daquela Portaria.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7.º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Abertura de estabelecimentos de apoio social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1 - Durante o estado de emergência, podem ser utilizados os equipamentos sociais que estejam aptos a entrar em funcionamento e dotados dos equipamentos necessários, nos termos do artigo 11.º e seguintes do </w:t>
      </w:r>
      <w:hyperlink r:id="rId15" w:tgtFrame="_blank" w:tooltip="Decreto-Lei n.º 64/2007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64/2007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14 de março, na sua redação atual.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2 - Compete ao Instituto da Segurança Social, I. P.: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a) Fixar o número de vagas destes estabelecimentos de acordo com as orientações emitidas pela Direção-Geral da Saúde ou em articulação com esta;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b) Realizar a gestão da ocupação destas vagas, privilegiando o acolhimento de pessoas com alta hospitalar e outras necessidades detetadas na comunidade.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3 - Esta autorização provisória de funcionamento cessa com o termo do estado de emergência decretado, após o qual deve ser retomado e concluído o procedimento de autorização de funcionamento, salvaguardando-se, nos termos legais e sempre que possível, a continuidade da atividade já iniciada.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4 - Durante o estado de emergência pode haver lugar a alteração transitória da utilização do espaço do edificado, relativamente ao atualmente estabelecido, quer nos estabelecimentos sociais referidos no n.º 1, quer nos que se encontram em funcionamento, licenciados e ou com acordo de cooperação.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lastRenderedPageBreak/>
        <w:t>5 - Em obediência das regras e orientações da Direção-Geral da Saúde, e para os efeitos das medidas previstas no presente artigo, pode ainda ser redefinida a capacidade de cada estabelecimento.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8.º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Voluntariado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As instituições podem recorrer a ações de voluntariado a que se refere o artigo 31.º do </w:t>
      </w:r>
      <w:hyperlink r:id="rId16" w:tgtFrame="_blank" w:tooltip="Decreto-Lei n.º 10-A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10-A/2020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13 de março, sempre que possível em articulação com a CASES - Cooperativa António Sérgio para a Economia Social.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9.º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Apoio à manutenção dos postos de trabalho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São aplicáveis às instituições as medidas de apoio constantes do </w:t>
      </w:r>
      <w:hyperlink r:id="rId17" w:tgtFrame="_blank" w:tooltip="Decreto-Lei n.º 10-G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10-G/2020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26 de março, que estabelece medidas excecionais e temporárias, definindo e regulamentando os termos e as condições de atribuição dos apoios destinados aos trabalhadores e às empresas afetados pela pandemia da COVID-19, tendo em vista a manutenção dos postos de trabalho.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10.º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Equiparação de trabalhadores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Os trabalhadores afetos ao funcionamento das respostas sociais das instituições são considerados trabalhadores que prestam serviços essenciais, para efeito da aplicação do disposto no artigo 10.º do </w:t>
      </w:r>
      <w:hyperlink r:id="rId18" w:tgtFrame="_blank" w:tooltip="Decreto-Lei n.º 10-A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10-A/2020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13 de março.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11.º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Prestação de contas anuais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É prorrogado, até 31 de julho de 2020, o prazo para a apresentação das contas relativas ao ano de 2019 aos serviços do Instituto da Segurança Social, I. P.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12.º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Diferimento de obrigações fiscais e contributivas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É aplicável às instituições o regime de diferimento, previsto no </w:t>
      </w:r>
      <w:hyperlink r:id="rId19" w:tgtFrame="_blank" w:tooltip="Decreto-Lei n.º 10-F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10-F/2020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26 de março, que estabelece um regime excecional e temporário de cumprimento de obrigações fiscais e contribuições sociais, no âmbito da pandemia da doença COVID-19.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13.º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Proteção e Apoio à Liquidez e Tesouraria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Com o intuito de assegurar o reforço de liquidez e tesouraria às entidades da economia social, atenuando os efeitos da redução da atividade económica, aplica-se o disposto no </w:t>
      </w:r>
      <w:hyperlink r:id="rId20" w:tgtFrame="_blank" w:tooltip="Decreto-Lei n.º 10-J/2020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Decreto-Lei n.º 10-J/2020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26 de março, que estabelece medidas excecionais de proteção dos créditos das famílias, empresas, instituições particulares de solidariedade social e demais entidades da economia social, bem como um regime especial de garantias pessoais do Estado, no âmbito da pandemia da doença COVID-19.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lastRenderedPageBreak/>
        <w:t>Artigo 14.º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Linha de Financiamento para as Instituições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 linha de Financiamento específica para as instituições obedece a regulamento próprio, em parceria com a SPGM - Sociedade de Investimento, S. A., entidade coordenadora do Sistema Português de Garantia Mútua.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15.º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Financiamento sem reembolso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O Instituto da Segurança Social, I. P., presta o apoio técnico no âmbito do protocolo para financiamento a fundo perdido às instituições, celebrado entre o Ministério do Trabalho, Solidariedade e Segurança Social e a Fundação Calouste Gulbenkian.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16.º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Diferimento de pagamentos ao Fundo de Reestruturação do Setor Solidário (FRSS)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1 - No âmbito da </w:t>
      </w:r>
      <w:hyperlink r:id="rId21" w:tgtFrame="_blank" w:tooltip="Portaria n.º 31/2014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Portaria n.º 31/2014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 de 5 de fevereiro, mediante requerimento, fundamentado e dirigido ao conselho de gestão do Fundo de Reestruturação do Setor Solidário, a entidade beneficiária pode solicitar o diferimento do reembolso devido nos primeiro e segundo trimestres de 2020, no âmbito do acordo de reembolso do apoio financeiro em vigor.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2 - Nas situações previstas no número anterior o prazo excecional máximo previsto no n.º 3 do artigo 7.º da </w:t>
      </w:r>
      <w:hyperlink r:id="rId22" w:tgtFrame="_blank" w:tooltip="Portaria n.º 31/2014" w:history="1">
        <w:r w:rsidRPr="00F50DBA">
          <w:rPr>
            <w:rFonts w:ascii="Times New Roman" w:eastAsia="Times New Roman" w:hAnsi="Times New Roman" w:cs="Times New Roman"/>
            <w:color w:val="006633"/>
            <w:sz w:val="21"/>
            <w:u w:val="single"/>
            <w:lang w:eastAsia="pt-PT"/>
          </w:rPr>
          <w:t>Portaria n.º 31/2014</w:t>
        </w:r>
      </w:hyperlink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, de 5 de fevereiro, é alargado por um ano, ficando sujeito à mesma taxa de juro dos dois últimos anos antes do alargamento excecional.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Artigo 17.º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Entrada em vigor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A presente portaria entra em vigor no dia seguinte ao da sua publicação.</w:t>
      </w:r>
    </w:p>
    <w:p w:rsidR="00F50DBA" w:rsidRPr="00F50DBA" w:rsidRDefault="00F50DBA" w:rsidP="003E2B7D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</w:pPr>
      <w:r w:rsidRPr="00F50DBA">
        <w:rPr>
          <w:rFonts w:ascii="Times New Roman" w:eastAsia="Times New Roman" w:hAnsi="Times New Roman" w:cs="Times New Roman"/>
          <w:color w:val="333333"/>
          <w:sz w:val="24"/>
          <w:szCs w:val="24"/>
          <w:lang w:eastAsia="pt-PT"/>
        </w:rPr>
        <w:t>Em 3 de abril de 2020.</w:t>
      </w:r>
    </w:p>
    <w:p w:rsidR="003E2B7D" w:rsidRDefault="003E2B7D" w:rsidP="003E2B7D">
      <w:pPr>
        <w:pStyle w:val="SemEspaamento"/>
        <w:spacing w:line="276" w:lineRule="auto"/>
        <w:jc w:val="both"/>
        <w:rPr>
          <w:lang w:eastAsia="pt-PT"/>
        </w:rPr>
      </w:pPr>
    </w:p>
    <w:p w:rsidR="003E2B7D" w:rsidRDefault="00F50DBA" w:rsidP="003E2B7D">
      <w:pPr>
        <w:pStyle w:val="SemEspaamento"/>
        <w:spacing w:line="276" w:lineRule="auto"/>
        <w:jc w:val="both"/>
        <w:rPr>
          <w:lang w:eastAsia="pt-PT"/>
        </w:rPr>
      </w:pPr>
      <w:r w:rsidRPr="00F50DBA">
        <w:rPr>
          <w:lang w:eastAsia="pt-PT"/>
        </w:rPr>
        <w:t xml:space="preserve">O Secretário de Estado da Segurança Social, </w:t>
      </w:r>
    </w:p>
    <w:p w:rsidR="00F50DBA" w:rsidRPr="003E2B7D" w:rsidRDefault="00F50DBA" w:rsidP="003E2B7D">
      <w:pPr>
        <w:pStyle w:val="SemEspaamento"/>
        <w:spacing w:line="276" w:lineRule="auto"/>
        <w:jc w:val="both"/>
        <w:rPr>
          <w:b/>
          <w:i/>
          <w:lang w:eastAsia="pt-PT"/>
        </w:rPr>
      </w:pPr>
      <w:r w:rsidRPr="003E2B7D">
        <w:rPr>
          <w:b/>
          <w:i/>
          <w:lang w:eastAsia="pt-PT"/>
        </w:rPr>
        <w:t xml:space="preserve">Gabriel Gameiro Rodrigues Bastos. </w:t>
      </w:r>
    </w:p>
    <w:p w:rsidR="003E2B7D" w:rsidRDefault="00F50DBA" w:rsidP="003E2B7D">
      <w:pPr>
        <w:pStyle w:val="SemEspaamento"/>
        <w:spacing w:line="276" w:lineRule="auto"/>
        <w:jc w:val="both"/>
        <w:rPr>
          <w:lang w:eastAsia="pt-PT"/>
        </w:rPr>
      </w:pPr>
      <w:r w:rsidRPr="00F50DBA">
        <w:rPr>
          <w:lang w:eastAsia="pt-PT"/>
        </w:rPr>
        <w:t xml:space="preserve">A Secretária de Estado da Inclusão das Pessoas com Deficiência, </w:t>
      </w:r>
    </w:p>
    <w:p w:rsidR="00F50DBA" w:rsidRPr="003E2B7D" w:rsidRDefault="00F50DBA" w:rsidP="003E2B7D">
      <w:pPr>
        <w:pStyle w:val="SemEspaamento"/>
        <w:spacing w:line="276" w:lineRule="auto"/>
        <w:jc w:val="both"/>
        <w:rPr>
          <w:b/>
          <w:i/>
          <w:lang w:eastAsia="pt-PT"/>
        </w:rPr>
      </w:pPr>
      <w:r w:rsidRPr="003E2B7D">
        <w:rPr>
          <w:b/>
          <w:i/>
          <w:lang w:eastAsia="pt-PT"/>
        </w:rPr>
        <w:t xml:space="preserve">Ana Sofia Pedroso Lopes Antunes. </w:t>
      </w:r>
    </w:p>
    <w:p w:rsidR="003E2B7D" w:rsidRDefault="00F50DBA" w:rsidP="003E2B7D">
      <w:pPr>
        <w:pStyle w:val="SemEspaamento"/>
        <w:spacing w:line="276" w:lineRule="auto"/>
        <w:jc w:val="both"/>
        <w:rPr>
          <w:lang w:eastAsia="pt-PT"/>
        </w:rPr>
      </w:pPr>
      <w:r w:rsidRPr="00F50DBA">
        <w:rPr>
          <w:lang w:eastAsia="pt-PT"/>
        </w:rPr>
        <w:t xml:space="preserve">A Secretária de Estado da Ação Social </w:t>
      </w:r>
    </w:p>
    <w:p w:rsidR="00F50DBA" w:rsidRPr="003E2B7D" w:rsidRDefault="00F50DBA" w:rsidP="003E2B7D">
      <w:pPr>
        <w:pStyle w:val="SemEspaamento"/>
        <w:spacing w:line="276" w:lineRule="auto"/>
        <w:jc w:val="both"/>
        <w:rPr>
          <w:b/>
          <w:i/>
          <w:lang w:eastAsia="pt-PT"/>
        </w:rPr>
      </w:pPr>
      <w:r w:rsidRPr="003E2B7D">
        <w:rPr>
          <w:b/>
          <w:i/>
          <w:lang w:eastAsia="pt-PT"/>
        </w:rPr>
        <w:t>Rita da Cunha Mendes.</w:t>
      </w:r>
    </w:p>
    <w:p w:rsidR="00823724" w:rsidRDefault="00823724" w:rsidP="003E2B7D">
      <w:pPr>
        <w:spacing w:line="240" w:lineRule="auto"/>
        <w:jc w:val="both"/>
      </w:pPr>
    </w:p>
    <w:sectPr w:rsidR="00823724" w:rsidSect="003E2B7D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05D80"/>
    <w:multiLevelType w:val="multilevel"/>
    <w:tmpl w:val="6A92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8160CB"/>
    <w:multiLevelType w:val="multilevel"/>
    <w:tmpl w:val="12F80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9075DB"/>
    <w:multiLevelType w:val="multilevel"/>
    <w:tmpl w:val="46DC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F511A5"/>
    <w:multiLevelType w:val="multilevel"/>
    <w:tmpl w:val="179E6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50DBA"/>
    <w:rsid w:val="003E2B7D"/>
    <w:rsid w:val="0048453F"/>
    <w:rsid w:val="00823724"/>
    <w:rsid w:val="00F50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724"/>
  </w:style>
  <w:style w:type="paragraph" w:styleId="Ttulo1">
    <w:name w:val="heading 1"/>
    <w:basedOn w:val="Normal"/>
    <w:link w:val="Ttulo1Carcter"/>
    <w:uiPriority w:val="9"/>
    <w:qFormat/>
    <w:rsid w:val="00F50D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cter">
    <w:name w:val="Título 1 Carácter"/>
    <w:basedOn w:val="Tipodeletrapredefinidodopargrafo"/>
    <w:link w:val="Ttulo1"/>
    <w:uiPriority w:val="9"/>
    <w:rsid w:val="00F50DBA"/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</w:rPr>
  </w:style>
  <w:style w:type="character" w:styleId="Forte">
    <w:name w:val="Strong"/>
    <w:basedOn w:val="Tipodeletrapredefinidodopargrafo"/>
    <w:uiPriority w:val="22"/>
    <w:qFormat/>
    <w:rsid w:val="00F50DBA"/>
    <w:rPr>
      <w:b/>
      <w:bCs/>
    </w:rPr>
  </w:style>
  <w:style w:type="character" w:styleId="Hiperligao">
    <w:name w:val="Hyperlink"/>
    <w:basedOn w:val="Tipodeletrapredefinidodopargrafo"/>
    <w:uiPriority w:val="99"/>
    <w:semiHidden/>
    <w:unhideWhenUsed/>
    <w:rsid w:val="00F50DB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50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SemEspaamento">
    <w:name w:val="No Spacing"/>
    <w:uiPriority w:val="1"/>
    <w:qFormat/>
    <w:rsid w:val="00F50DB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8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4377">
          <w:marLeft w:val="0"/>
          <w:marRight w:val="0"/>
          <w:marTop w:val="0"/>
          <w:marBottom w:val="0"/>
          <w:divBdr>
            <w:top w:val="single" w:sz="18" w:space="4" w:color="F2F2F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0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1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23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62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22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e.pt/web/guest/pesquisa/-/search/130399862/details/normal?l=1" TargetMode="External"/><Relationship Id="rId13" Type="http://schemas.openxmlformats.org/officeDocument/2006/relationships/hyperlink" Target="https://dre.pt/web/guest/pesquisa/-/search/498708/details/normal?l=1" TargetMode="External"/><Relationship Id="rId18" Type="http://schemas.openxmlformats.org/officeDocument/2006/relationships/hyperlink" Target="https://dre.pt/web/guest/pesquisa/-/search/130243053/details/normal?l=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re.pt/web/guest/pesquisa/-/search/570757/details/normal?l=1" TargetMode="External"/><Relationship Id="rId7" Type="http://schemas.openxmlformats.org/officeDocument/2006/relationships/hyperlink" Target="https://dre.pt/web/guest/pesquisa/-/search/131068124/details/normal?l=1" TargetMode="External"/><Relationship Id="rId12" Type="http://schemas.openxmlformats.org/officeDocument/2006/relationships/hyperlink" Target="https://dre.pt/web/guest/pesquisa/-/search/123183032/details/normal?l=1" TargetMode="External"/><Relationship Id="rId17" Type="http://schemas.openxmlformats.org/officeDocument/2006/relationships/hyperlink" Target="https://dre.pt/web/guest/pesquisa/-/search/130779506/details/normal?l=1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e.pt/web/guest/pesquisa/-/search/130243053/details/normal?l=1" TargetMode="External"/><Relationship Id="rId20" Type="http://schemas.openxmlformats.org/officeDocument/2006/relationships/hyperlink" Target="https://dre.pt/web/guest/pesquisa/-/search/130779509/details/normal?l=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e.pt/web/guest/pesquisa/-/search/130473088/details/normal?l=1" TargetMode="External"/><Relationship Id="rId11" Type="http://schemas.openxmlformats.org/officeDocument/2006/relationships/hyperlink" Target="https://dre.pt/web/guest/pesquisa/-/search/67666075/details/normal?l=1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dre.pt/web/guest/pesquisa/-/search/130243053/details/normal?l=1" TargetMode="External"/><Relationship Id="rId15" Type="http://schemas.openxmlformats.org/officeDocument/2006/relationships/hyperlink" Target="https://dre.pt/web/guest/pesquisa/-/search/518425/details/normal?l=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dre.pt/web/guest/pesquisa/-/search/130243054/details/normal?l=1" TargetMode="External"/><Relationship Id="rId19" Type="http://schemas.openxmlformats.org/officeDocument/2006/relationships/hyperlink" Target="https://dre.pt/web/guest/pesquisa/-/search/130779505/details/normal?l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e.pt/web/guest/pesquisa/-/search/131068115/details/normal?l=1" TargetMode="External"/><Relationship Id="rId14" Type="http://schemas.openxmlformats.org/officeDocument/2006/relationships/hyperlink" Target="https://dre.pt/web/guest/pesquisa/-/search/67666075/details/normal?l=1" TargetMode="External"/><Relationship Id="rId22" Type="http://schemas.openxmlformats.org/officeDocument/2006/relationships/hyperlink" Target="https://dre.pt/web/guest/pesquisa/-/search/570757/details/normal?l=1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2562</Words>
  <Characters>13840</Characters>
  <Application>Microsoft Office Word</Application>
  <DocSecurity>0</DocSecurity>
  <Lines>115</Lines>
  <Paragraphs>32</Paragraphs>
  <ScaleCrop>false</ScaleCrop>
  <Company/>
  <LinksUpToDate>false</LinksUpToDate>
  <CharactersWithSpaces>16370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Padre Lino Maia</dc:creator>
  <cp:keywords/>
  <dc:description/>
  <cp:lastModifiedBy>Padre Lino Maia</cp:lastModifiedBy>
  <cp:revision>3</cp:revision>
  <dcterms:created xsi:type="dcterms:W3CDTF">2020-04-03T17:26:00Z</dcterms:created>
  <dcterms:modified xsi:type="dcterms:W3CDTF">2020-04-03T20:27:00Z</dcterms:modified>
</cp:coreProperties>
</file>